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Linux Command Scavenger Hunt #2</w:t>
      </w:r>
    </w:p>
    <w:p>
      <w:pPr>
        <w:jc w:val="center"/>
      </w:pPr>
      <w:r>
        <w:rPr>
          <w:color w:val="008833"/>
          <w:sz w:val="28"/>
        </w:rPr>
        <w:t>The Perimeter Is Open</w:t>
      </w:r>
    </w:p>
    <w:p>
      <w:r>
        <w:rPr>
          <w:b/>
        </w:rPr>
        <w:t xml:space="preserve">Team name: </w:t>
      </w:r>
      <w:r>
        <w:t xml:space="preserve">________________________   </w:t>
      </w:r>
      <w:r>
        <w:rPr>
          <w:b/>
        </w:rPr>
        <w:t xml:space="preserve">Members: </w:t>
      </w:r>
      <w:r>
        <w:t>_____________________________________________</w:t>
      </w:r>
    </w:p>
    <w:p/>
    <w:p>
      <w:r>
        <w:rPr>
          <w:b/>
          <w:color w:val="008833"/>
          <w:sz w:val="22"/>
        </w:rPr>
        <w:t>THE SCENARIO + THE LAB</w:t>
      </w:r>
    </w:p>
    <w:p>
      <w:r>
        <w:rPr>
          <w:sz w:val="20"/>
        </w:rPr>
        <w:t>It is 04:47. An alert fires: cell-071 is accepting inbound connections on every port and a rogue process is beaconing out on port 8888. You SSH in before the attacker can establish persistence. Your job: inspect the damage, lock the perimeter, harden the SSH daemon, audit the failed-login log, sweep for malware, and verify the openssh-server binary has not been tampered with. Open the W2 Scavenger Hunt #2 CTF box from the W2 hub. For each row below: write the exact command (or minimal flag combination) you ran in the lab to complete that step. First team to finish all eight correctly AND capture all eight lab flags wins.</w:t>
      </w:r>
    </w:p>
    <w:p>
      <w:r>
        <w:rPr>
          <w:b/>
          <w:color w:val="008833"/>
          <w:sz w:val="22"/>
        </w:rPr>
        <w:t>RULES</w:t>
      </w:r>
    </w:p>
    <w:p>
      <w:r>
        <w:rPr>
          <w:sz w:val="20"/>
        </w:rPr>
        <w:t xml:space="preserve">Teams of 2 or 3.  </w:t>
      </w:r>
      <w:r>
        <w:rPr>
          <w:sz w:val="20"/>
        </w:rPr>
        <w:t xml:space="preserve">Use any course resources </w:t>
      </w:r>
      <w:r>
        <w:rPr>
          <w:sz w:val="20"/>
        </w:rPr>
        <w:t>(man pages, the W2 lecture deck, the W2 operator field manual).</w:t>
      </w:r>
      <w:r>
        <w:rPr>
          <w:b/>
          <w:sz w:val="20"/>
        </w:rPr>
        <w:t xml:space="preserve">  First team correct: 100/100.  </w:t>
      </w:r>
      <w:r>
        <w:rPr>
          <w:sz w:val="20"/>
        </w:rPr>
        <w:t xml:space="preserve">Other correct teams: 95/100.  </w:t>
      </w:r>
      <w:r>
        <w:rPr>
          <w:sz w:val="20"/>
        </w:rPr>
        <w:t xml:space="preserve">Each wrong answer: -2 points.  </w:t>
      </w:r>
      <w:r>
        <w:rPr>
          <w:sz w:val="20"/>
        </w:rPr>
        <w:t>All eight lab flags must be captured for full credit.</w:t>
      </w:r>
    </w:p>
    <w:p/>
    <w:p/>
    <w:tbl>
      <w:tblPr>
        <w:tblStyle w:val="LightGrid-Accent1"/>
        <w:tblW w:type="auto" w:w="0"/>
        <w:tblLook w:firstColumn="1" w:firstRow="1" w:lastColumn="0" w:lastRow="0" w:noHBand="0" w:noVBand="1" w:val="04A0"/>
      </w:tblPr>
      <w:tblGrid>
        <w:gridCol w:w="3360"/>
        <w:gridCol w:w="3360"/>
        <w:gridCol w:w="3360"/>
      </w:tblGrid>
      <w:tr>
        <w:tc>
          <w:tcPr>
            <w:tcW w:w="503" w:type="dxa"/>
          </w:tcPr>
          <w:p>
            <w:r>
              <w:rPr>
                <w:b/>
              </w:rPr>
              <w:t>#</w:t>
            </w:r>
          </w:p>
        </w:tc>
        <w:tc>
          <w:tcPr>
            <w:tcW w:w="7200" w:type="dxa"/>
          </w:tcPr>
          <w:p>
            <w:r>
              <w:rPr>
                <w:b/>
              </w:rPr>
              <w:t>Description</w:t>
            </w:r>
          </w:p>
        </w:tc>
        <w:tc>
          <w:tcPr>
            <w:tcW w:w="2664" w:type="dxa"/>
          </w:tcPr>
          <w:p>
            <w:r>
              <w:rPr>
                <w:b/>
              </w:rPr>
              <w:t>Command</w:t>
            </w:r>
          </w:p>
        </w:tc>
      </w:tr>
      <w:tr>
        <w:tc>
          <w:tcPr>
            <w:tcW w:w="503" w:type="dxa"/>
          </w:tcPr>
          <w:p>
            <w:r>
              <w:t>1</w:t>
            </w:r>
          </w:p>
        </w:tc>
        <w:tc>
          <w:tcPr>
            <w:tcW w:w="7200" w:type="dxa"/>
          </w:tcPr>
          <w:p>
            <w:r>
              <w:rPr>
                <w:sz w:val="20"/>
              </w:rPr>
              <w:t>Inspect the current firewall rules on cell-071.</w:t>
            </w:r>
          </w:p>
          <w:p>
            <w:r>
              <w:rPr>
                <w:color w:val="555555"/>
                <w:sz w:val="18"/>
              </w:rPr>
              <w:t>What is the default policy on the INPUT chain?  Step 1 — assess the perimeter</w:t>
            </w:r>
          </w:p>
        </w:tc>
        <w:tc>
          <w:tcPr>
            <w:tcW w:w="2664" w:type="dxa"/>
          </w:tcPr>
          <w:p>
            <w:r/>
          </w:p>
        </w:tc>
      </w:tr>
      <w:tr>
        <w:tc>
          <w:tcPr>
            <w:tcW w:w="503" w:type="dxa"/>
          </w:tcPr>
          <w:p>
            <w:r>
              <w:t>2</w:t>
            </w:r>
          </w:p>
        </w:tc>
        <w:tc>
          <w:tcPr>
            <w:tcW w:w="7200" w:type="dxa"/>
          </w:tcPr>
          <w:p>
            <w:r>
              <w:rPr>
                <w:sz w:val="20"/>
              </w:rPr>
              <w:t>Apply a default-deny policy so all NEW inbound connections are blocked.</w:t>
            </w:r>
          </w:p>
          <w:p>
            <w:r>
              <w:rPr>
                <w:color w:val="555555"/>
                <w:sz w:val="18"/>
              </w:rPr>
              <w:t>Add the established-sessions rule first — do NOT lock yourself out.  Step 2 — close the perimeter</w:t>
            </w:r>
          </w:p>
        </w:tc>
        <w:tc>
          <w:tcPr>
            <w:tcW w:w="2664" w:type="dxa"/>
          </w:tcPr>
          <w:p>
            <w:r/>
          </w:p>
        </w:tc>
      </w:tr>
      <w:tr>
        <w:tc>
          <w:tcPr>
            <w:tcW w:w="503" w:type="dxa"/>
          </w:tcPr>
          <w:p>
            <w:r>
              <w:t>3</w:t>
            </w:r>
          </w:p>
        </w:tc>
        <w:tc>
          <w:tcPr>
            <w:tcW w:w="7200" w:type="dxa"/>
          </w:tcPr>
          <w:p>
            <w:r>
              <w:rPr>
                <w:sz w:val="20"/>
              </w:rPr>
              <w:t>Explicitly allow new SSH connections on port 22 so future logins are possible.</w:t>
            </w:r>
          </w:p>
          <w:p>
            <w:r>
              <w:rPr>
                <w:color w:val="555555"/>
                <w:sz w:val="18"/>
              </w:rPr>
              <w:t>Step 3 — whitelist SSH</w:t>
            </w:r>
          </w:p>
        </w:tc>
        <w:tc>
          <w:tcPr>
            <w:tcW w:w="2664" w:type="dxa"/>
          </w:tcPr>
          <w:p>
            <w:r/>
          </w:p>
        </w:tc>
      </w:tr>
      <w:tr>
        <w:tc>
          <w:tcPr>
            <w:tcW w:w="503" w:type="dxa"/>
          </w:tcPr>
          <w:p>
            <w:r>
              <w:t>4</w:t>
            </w:r>
          </w:p>
        </w:tc>
        <w:tc>
          <w:tcPr>
            <w:tcW w:w="7200" w:type="dxa"/>
          </w:tcPr>
          <w:p>
            <w:r>
              <w:rPr>
                <w:sz w:val="20"/>
              </w:rPr>
              <w:t>Identify every service listening on a TCP port. There is a rogue process running on an unexpected port — which port is it?</w:t>
            </w:r>
          </w:p>
          <w:p>
            <w:r>
              <w:rPr>
                <w:color w:val="555555"/>
                <w:sz w:val="18"/>
              </w:rPr>
              <w:t>Step 4 — hunt the implant</w:t>
            </w:r>
          </w:p>
        </w:tc>
        <w:tc>
          <w:tcPr>
            <w:tcW w:w="2664" w:type="dxa"/>
          </w:tcPr>
          <w:p>
            <w:r/>
          </w:p>
        </w:tc>
      </w:tr>
      <w:tr>
        <w:tc>
          <w:tcPr>
            <w:tcW w:w="503" w:type="dxa"/>
          </w:tcPr>
          <w:p>
            <w:r>
              <w:t>5</w:t>
            </w:r>
          </w:p>
        </w:tc>
        <w:tc>
          <w:tcPr>
            <w:tcW w:w="7200" w:type="dxa"/>
          </w:tcPr>
          <w:p>
            <w:r>
              <w:rPr>
                <w:sz w:val="20"/>
              </w:rPr>
              <w:t>Disable root SSH login in the SSH daemon configuration, syntax-check the config, then apply the change without dropping active connections.</w:t>
            </w:r>
          </w:p>
          <w:p>
            <w:r>
              <w:rPr>
                <w:color w:val="555555"/>
                <w:sz w:val="18"/>
              </w:rPr>
              <w:t>Step 5 — harden SSH</w:t>
            </w:r>
          </w:p>
        </w:tc>
        <w:tc>
          <w:tcPr>
            <w:tcW w:w="2664" w:type="dxa"/>
          </w:tcPr>
          <w:p>
            <w:r/>
          </w:p>
        </w:tc>
      </w:tr>
      <w:tr>
        <w:tc>
          <w:tcPr>
            <w:tcW w:w="503" w:type="dxa"/>
          </w:tcPr>
          <w:p>
            <w:r>
              <w:t>6</w:t>
            </w:r>
          </w:p>
        </w:tc>
        <w:tc>
          <w:tcPr>
            <w:tcW w:w="7200" w:type="dxa"/>
          </w:tcPr>
          <w:p>
            <w:r>
              <w:rPr>
                <w:sz w:val="20"/>
              </w:rPr>
              <w:t>Identify the account that was targeted by a brute-force attack and check how many login failures it has recorded.</w:t>
            </w:r>
          </w:p>
          <w:p>
            <w:r>
              <w:rPr>
                <w:color w:val="555555"/>
                <w:sz w:val="18"/>
              </w:rPr>
              <w:t>Step 6 — audit the failed logins</w:t>
            </w:r>
          </w:p>
        </w:tc>
        <w:tc>
          <w:tcPr>
            <w:tcW w:w="2664" w:type="dxa"/>
          </w:tcPr>
          <w:p>
            <w:r/>
          </w:p>
        </w:tc>
      </w:tr>
      <w:tr>
        <w:tc>
          <w:tcPr>
            <w:tcW w:w="503" w:type="dxa"/>
          </w:tcPr>
          <w:p>
            <w:r>
              <w:t>7</w:t>
            </w:r>
          </w:p>
        </w:tc>
        <w:tc>
          <w:tcPr>
            <w:tcW w:w="7200" w:type="dxa"/>
          </w:tcPr>
          <w:p>
            <w:r>
              <w:rPr>
                <w:sz w:val="20"/>
              </w:rPr>
              <w:t>Scan /tmp and /home recursively for malware and move any infected files to quarantine.</w:t>
            </w:r>
          </w:p>
          <w:p>
            <w:r>
              <w:rPr>
                <w:color w:val="555555"/>
                <w:sz w:val="18"/>
              </w:rPr>
              <w:t>Step 7 — AV sweep</w:t>
            </w:r>
          </w:p>
        </w:tc>
        <w:tc>
          <w:tcPr>
            <w:tcW w:w="2664" w:type="dxa"/>
          </w:tcPr>
          <w:p>
            <w:r/>
          </w:p>
        </w:tc>
      </w:tr>
      <w:tr>
        <w:tc>
          <w:tcPr>
            <w:tcW w:w="503" w:type="dxa"/>
          </w:tcPr>
          <w:p>
            <w:r>
              <w:t>8</w:t>
            </w:r>
          </w:p>
        </w:tc>
        <w:tc>
          <w:tcPr>
            <w:tcW w:w="7200" w:type="dxa"/>
          </w:tcPr>
          <w:p>
            <w:r>
              <w:rPr>
                <w:sz w:val="20"/>
              </w:rPr>
              <w:t>Verify the integrity of the openssh-server package against its stored checksums. What does the output tell you?</w:t>
            </w:r>
          </w:p>
          <w:p>
            <w:r>
              <w:rPr>
                <w:color w:val="555555"/>
                <w:sz w:val="18"/>
              </w:rPr>
              <w:t>Step 8 — package integrity check</w:t>
            </w:r>
          </w:p>
        </w:tc>
        <w:tc>
          <w:tcPr>
            <w:tcW w:w="2664" w:type="dxa"/>
          </w:tcPr>
          <w:p>
            <w:r/>
          </w:p>
        </w:tc>
      </w:tr>
    </w:tbl>
    <w:p/>
    <w:p/>
    <w:p>
      <w:r>
        <w:rPr>
          <w:b/>
          <w:color w:val="008833"/>
          <w:sz w:val="22"/>
        </w:rPr>
        <w:t>LAB FLAGS</w:t>
      </w:r>
    </w:p>
    <w:p>
      <w:r>
        <w:rPr>
          <w:sz w:val="20"/>
        </w:rPr>
        <w:t>Each worksheet row corresponds to one lab flag. When you run the correct command in the CTF box the engine auto-awards the flag. Copy each FLAG{...} value into the table below.</w:t>
      </w:r>
    </w:p>
    <w:tbl>
      <w:tblPr>
        <w:tblStyle w:val="LightGrid-Accent1"/>
        <w:tblW w:type="auto" w:w="0"/>
        <w:tblLook w:firstColumn="1" w:firstRow="1" w:lastColumn="0" w:lastRow="0" w:noHBand="0" w:noVBand="1" w:val="04A0"/>
      </w:tblPr>
      <w:tblGrid>
        <w:gridCol w:w="5040"/>
        <w:gridCol w:w="5040"/>
      </w:tblGrid>
      <w:tr>
        <w:tc>
          <w:tcPr>
            <w:tcW w:w="503" w:type="dxa"/>
          </w:tcPr>
          <w:p>
            <w:r>
              <w:rPr>
                <w:b/>
              </w:rPr>
              <w:t>#</w:t>
            </w:r>
          </w:p>
        </w:tc>
        <w:tc>
          <w:tcPr>
            <w:tcW w:w="9360" w:type="dxa"/>
          </w:tcPr>
          <w:p>
            <w:r>
              <w:rPr>
                <w:b/>
              </w:rPr>
              <w:t>Flag value (FLAG{...})</w:t>
            </w:r>
          </w:p>
        </w:tc>
      </w:tr>
      <w:tr>
        <w:tc>
          <w:tcPr>
            <w:tcW w:w="503" w:type="dxa"/>
          </w:tcPr>
          <w:p>
            <w:r>
              <w:t>1</w:t>
            </w:r>
          </w:p>
        </w:tc>
        <w:tc>
          <w:tcPr>
            <w:tcW w:w="9360" w:type="dxa"/>
          </w:tcPr>
          <w:p>
            <w:r/>
          </w:p>
        </w:tc>
      </w:tr>
      <w:tr>
        <w:tc>
          <w:tcPr>
            <w:tcW w:w="503" w:type="dxa"/>
          </w:tcPr>
          <w:p>
            <w:r>
              <w:t>2</w:t>
            </w:r>
          </w:p>
        </w:tc>
        <w:tc>
          <w:tcPr>
            <w:tcW w:w="9360" w:type="dxa"/>
          </w:tcPr>
          <w:p>
            <w:r/>
          </w:p>
        </w:tc>
      </w:tr>
      <w:tr>
        <w:tc>
          <w:tcPr>
            <w:tcW w:w="503" w:type="dxa"/>
          </w:tcPr>
          <w:p>
            <w:r>
              <w:t>3</w:t>
            </w:r>
          </w:p>
        </w:tc>
        <w:tc>
          <w:tcPr>
            <w:tcW w:w="9360" w:type="dxa"/>
          </w:tcPr>
          <w:p>
            <w:r/>
          </w:p>
        </w:tc>
      </w:tr>
      <w:tr>
        <w:tc>
          <w:tcPr>
            <w:tcW w:w="503" w:type="dxa"/>
          </w:tcPr>
          <w:p>
            <w:r>
              <w:t>4</w:t>
            </w:r>
          </w:p>
        </w:tc>
        <w:tc>
          <w:tcPr>
            <w:tcW w:w="9360" w:type="dxa"/>
          </w:tcPr>
          <w:p>
            <w:r/>
          </w:p>
        </w:tc>
      </w:tr>
      <w:tr>
        <w:tc>
          <w:tcPr>
            <w:tcW w:w="503" w:type="dxa"/>
          </w:tcPr>
          <w:p>
            <w:r>
              <w:t>5</w:t>
            </w:r>
          </w:p>
        </w:tc>
        <w:tc>
          <w:tcPr>
            <w:tcW w:w="9360" w:type="dxa"/>
          </w:tcPr>
          <w:p>
            <w:r/>
          </w:p>
        </w:tc>
      </w:tr>
      <w:tr>
        <w:tc>
          <w:tcPr>
            <w:tcW w:w="503" w:type="dxa"/>
          </w:tcPr>
          <w:p>
            <w:r>
              <w:t>6</w:t>
            </w:r>
          </w:p>
        </w:tc>
        <w:tc>
          <w:tcPr>
            <w:tcW w:w="9360" w:type="dxa"/>
          </w:tcPr>
          <w:p>
            <w:r/>
          </w:p>
        </w:tc>
      </w:tr>
      <w:tr>
        <w:tc>
          <w:tcPr>
            <w:tcW w:w="503" w:type="dxa"/>
          </w:tcPr>
          <w:p>
            <w:r>
              <w:t>7</w:t>
            </w:r>
          </w:p>
        </w:tc>
        <w:tc>
          <w:tcPr>
            <w:tcW w:w="9360" w:type="dxa"/>
          </w:tcPr>
          <w:p>
            <w:r/>
          </w:p>
        </w:tc>
      </w:tr>
      <w:tr>
        <w:tc>
          <w:tcPr>
            <w:tcW w:w="503" w:type="dxa"/>
          </w:tcPr>
          <w:p>
            <w:r>
              <w:t>8</w:t>
            </w:r>
          </w:p>
        </w:tc>
        <w:tc>
          <w:tcPr>
            <w:tcW w:w="9360" w:type="dxa"/>
          </w:tcPr>
          <w:p>
            <w:r/>
          </w:p>
        </w:tc>
      </w:tr>
    </w:tbl>
    <w:p/>
    <w:p>
      <w:r>
        <w:rPr>
          <w:b/>
          <w:sz w:val="22"/>
        </w:rPr>
        <w:t>Score (instructor):  Sheet ____/100   Flag 1 ☐   Flag 2 ☐   Flag 3 ☐   Flag 4 ☐   Flag 5 ☐   Flag 6 ☐   Flag 7 ☐   Flag 8 ☐   Final: ____/100</w:t>
      </w:r>
    </w:p>
    <w:sectPr w:rsidR="00FC693F" w:rsidRPr="0006063C" w:rsidSect="00034616">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